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Style w:val="5"/>
          <w:rFonts w:hint="eastAsia"/>
          <w:color w:val="0F703B"/>
          <w:sz w:val="24"/>
        </w:rPr>
      </w:pPr>
      <w:r>
        <w:rPr>
          <w:rStyle w:val="5"/>
          <w:rFonts w:hint="eastAsia"/>
          <w:color w:val="0F703B"/>
          <w:sz w:val="24"/>
          <w:lang w:val="en-US" w:eastAsia="zh-CN"/>
        </w:rPr>
        <w:t>附件3</w:t>
      </w:r>
      <w:bookmarkStart w:id="0" w:name="_GoBack"/>
      <w:bookmarkEnd w:id="0"/>
      <w:r>
        <w:rPr>
          <w:rStyle w:val="5"/>
          <w:rFonts w:hint="eastAsia"/>
          <w:color w:val="0F703B"/>
          <w:sz w:val="24"/>
        </w:rPr>
        <w:t>：</w:t>
      </w:r>
    </w:p>
    <w:p>
      <w:pPr>
        <w:jc w:val="center"/>
        <w:rPr>
          <w:b/>
          <w:sz w:val="44"/>
          <w:szCs w:val="44"/>
        </w:rPr>
      </w:pPr>
      <w:r>
        <w:rPr>
          <w:rFonts w:hint="eastAsia"/>
          <w:b/>
          <w:sz w:val="44"/>
          <w:szCs w:val="44"/>
        </w:rPr>
        <w:t>宝钢奖颁评细则</w:t>
      </w:r>
    </w:p>
    <w:p/>
    <w:p>
      <w:pPr>
        <w:widowControl/>
        <w:shd w:val="clear" w:color="auto" w:fill="F3F3F3"/>
        <w:jc w:val="left"/>
        <w:rPr>
          <w:rFonts w:ascii="Helvetica" w:hAnsi="Helvetica" w:cs="宋体"/>
          <w:color w:val="333333"/>
          <w:kern w:val="0"/>
          <w:sz w:val="27"/>
          <w:szCs w:val="27"/>
        </w:rPr>
      </w:pPr>
      <w:r>
        <w:rPr>
          <w:rFonts w:ascii="Helvetica" w:hAnsi="Helvetica" w:cs="宋体"/>
          <w:color w:val="333333"/>
          <w:kern w:val="0"/>
          <w:sz w:val="27"/>
          <w:szCs w:val="27"/>
        </w:rPr>
        <w:t>宝钢教育奖是宝钢教育基金会支持中国高等教育的一项主要的公益事业。为了做好宝钢教育奖的评颁工作，根据《宝钢教育基金会章程》特制订本细则。 </w:t>
      </w:r>
    </w:p>
    <w:p>
      <w:pPr>
        <w:widowControl/>
        <w:shd w:val="clear" w:color="auto" w:fill="5D9436"/>
        <w:spacing w:line="870" w:lineRule="atLeast"/>
        <w:jc w:val="left"/>
        <w:rPr>
          <w:rFonts w:ascii="Helvetica" w:hAnsi="Helvetica" w:cs="宋体"/>
          <w:b/>
          <w:bCs/>
          <w:color w:val="FFFFFF"/>
          <w:kern w:val="0"/>
          <w:sz w:val="36"/>
          <w:szCs w:val="36"/>
        </w:rPr>
      </w:pPr>
      <w:r>
        <w:rPr>
          <w:rFonts w:ascii="Helvetica" w:hAnsi="Helvetica" w:cs="宋体"/>
          <w:b/>
          <w:bCs/>
          <w:color w:val="FFFFFF"/>
          <w:kern w:val="0"/>
          <w:sz w:val="36"/>
          <w:szCs w:val="36"/>
        </w:rPr>
        <w:t>第一章 总则</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第一条</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宝钢教育奖设宝钢优秀学生奖、宝钢优秀学生特等奖、宝钢优秀教师奖、宝钢优秀教师特等奖和宝钢优秀教师特等奖提名奖五个奖项，每年评颁一次。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宝钢教育奖在以若干教育部直属高等院校为主的全国部分高等院校（以下简称评审学校）和上海市教育委员会与中国冶金教育学会（以下简称评审单位）设立一定数量的宝钢优秀学生奖和宝钢优秀教师奖名额。</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第三条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宝钢教育奖的评审工作，由宝钢教育基金会设立的专门委员会——宝钢教育奖评审工作委员会负责评审和管理。</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第四条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宝钢教育基金会名誉会长、名誉理事长、顾问可以自愿参加宝钢教育奖的评审工作。</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第五条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第六条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pPr>
        <w:widowControl/>
        <w:shd w:val="clear" w:color="auto" w:fill="FFFFFF"/>
        <w:spacing w:line="450" w:lineRule="atLeast"/>
        <w:ind w:firstLine="480"/>
        <w:rPr>
          <w:rFonts w:ascii="Helvetica" w:hAnsi="Helvetica" w:cs="宋体"/>
          <w:color w:val="333333"/>
          <w:kern w:val="0"/>
          <w:sz w:val="24"/>
        </w:rPr>
      </w:pPr>
    </w:p>
    <w:p>
      <w:pPr>
        <w:widowControl/>
        <w:shd w:val="clear" w:color="auto" w:fill="5D9436"/>
        <w:spacing w:line="870" w:lineRule="atLeast"/>
        <w:jc w:val="left"/>
        <w:rPr>
          <w:rFonts w:ascii="Helvetica" w:hAnsi="Helvetica" w:cs="宋体"/>
          <w:b/>
          <w:bCs/>
          <w:color w:val="FFFFFF"/>
          <w:kern w:val="0"/>
          <w:sz w:val="36"/>
          <w:szCs w:val="36"/>
        </w:rPr>
      </w:pPr>
      <w:r>
        <w:rPr>
          <w:rFonts w:ascii="Helvetica" w:hAnsi="Helvetica" w:cs="宋体"/>
          <w:b/>
          <w:bCs/>
          <w:color w:val="FFFFFF"/>
          <w:kern w:val="0"/>
          <w:sz w:val="36"/>
          <w:szCs w:val="36"/>
        </w:rPr>
        <w:t>第二章 奖项、奖励名额和金额</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第七条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宝钢教育奖奖励金额和奖励名额:</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宝钢优秀学生奖：金额为1万元／人，每年500名左右（其中台湾地区、港澳地区学生60名左右）；</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宝钢优秀学生特等奖：金额为2万元／人，每年25名；</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宝钢优秀教师奖：金额为1万元／人，每年270名左右；</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宝钢优秀教师特等奖：金额为10万元/人，每年10名；</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宝钢优秀教师特等奖提名奖：金额为3万元/人，每年名额不定。</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第八条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第九条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pPr>
        <w:widowControl/>
        <w:shd w:val="clear" w:color="auto" w:fill="FFFFFF"/>
        <w:spacing w:line="450" w:lineRule="atLeast"/>
        <w:ind w:firstLine="480"/>
        <w:rPr>
          <w:rFonts w:ascii="Helvetica" w:hAnsi="Helvetica" w:cs="宋体"/>
          <w:color w:val="333333"/>
          <w:kern w:val="0"/>
          <w:sz w:val="24"/>
        </w:rPr>
      </w:pPr>
    </w:p>
    <w:p>
      <w:pPr>
        <w:widowControl/>
        <w:shd w:val="clear" w:color="auto" w:fill="5D9436"/>
        <w:spacing w:line="870" w:lineRule="atLeast"/>
        <w:jc w:val="left"/>
        <w:rPr>
          <w:rFonts w:ascii="Helvetica" w:hAnsi="Helvetica" w:cs="宋体"/>
          <w:b/>
          <w:bCs/>
          <w:color w:val="FFFFFF"/>
          <w:kern w:val="0"/>
          <w:sz w:val="36"/>
          <w:szCs w:val="36"/>
        </w:rPr>
      </w:pPr>
      <w:r>
        <w:rPr>
          <w:rFonts w:ascii="Helvetica" w:hAnsi="Helvetica" w:cs="宋体"/>
          <w:b/>
          <w:bCs/>
          <w:color w:val="FFFFFF"/>
          <w:kern w:val="0"/>
          <w:sz w:val="36"/>
          <w:szCs w:val="36"/>
        </w:rPr>
        <w:t>第三章 申报及评选条件</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第十条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宝钢教育奖申报对象主要为宝钢教育奖评审学校和评审单位在籍的大专生、本科生、研究生和从事教育教学工作5年及以上的在编教师。</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第十一条 </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申报宝钢优秀学生奖的条件:</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1、热爱中华人民共和国，拥护中国共产党的领导，模范遵守国家法律和校纪校规，具有良好的道德品质和行为习惯，诚实守信。</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2、勤奋学习，成绩优秀，具有一定的学习能力、创新能力、动手能力、灵活运用知识能力、口头与书面语言表达能力(以下简称五种能力)；“创新创业”实践中取得突出成果；研究生还应具有较强的科研能力，并取得一定的优秀研究成果。</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3、尊重师长，友爱同学，乐于助人，积极参加社会实践和公益活动，能承担社会工作，具有团结协作精神。</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4、积极参加体育锻炼，身心健康，乐观进取。</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第十二条</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申报宝钢优秀学生奖（台湾地区、港澳地区）的条件:</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1、认同一个中国；自觉遵守中华人民共和国法律、法规，遵守学校各项规章制度；</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2、诚实守信、身心健康、乐观进取，尊重师长、友爱同学、乐于助人，有良好的道德修养；</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3、学习勤奋刻苦、成绩优秀，具有一定的“五种能力”。</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第十三条</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宝钢优秀学生奖获得者中（含台湾地区、港澳地区）的特别优秀者，经评审学校或评审单位提名，可参与宝钢优秀学生特等奖的评选（评选程序见第二十二条）。</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第十四条 </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申报宝钢优秀教师奖的条件:</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1、忠诚党的教育事业，有强烈的事业心和团结协作精神，爱岗敬业，师德高尚，治学严谨，教书育人。</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2、坚持工作在教学第一线，近三年须连续承担本科生教学任务，每学年完成公共基础课或专业基础课授课在64学时以上，且教学效果好，深受学生和同行好评。</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3、积极参与教育教学改革和教学基本建设，在教学内容、教材、方法、手段改革方面取得显著成果，获省部级及以上教学成果奖，或在核心期刊及以上刊物上发表教育教学研究论文，或有正式出版的教材、专著等。</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4、注重因材施教与学生的“五种能力”的培养，并取得显著成效；其直接培养、指导的学生在科学研究、竞赛、设计、创新实践和社会服务等活动中取得突出成绩，获省部级及以上奖励。</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5、有与职称相应的学术水平和科研成果，特别是能够将学科前沿知识和科研成果融入教学实践中。</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第十五条 </w:t>
      </w:r>
    </w:p>
    <w:p>
      <w:pPr>
        <w:widowControl/>
        <w:shd w:val="clear" w:color="auto" w:fill="FFFFFF"/>
        <w:spacing w:line="450" w:lineRule="atLeast"/>
        <w:ind w:firstLine="480"/>
        <w:rPr>
          <w:rFonts w:ascii="Helvetica" w:hAnsi="Helvetica" w:cs="宋体"/>
          <w:kern w:val="0"/>
          <w:sz w:val="24"/>
        </w:rPr>
      </w:pPr>
      <w:r>
        <w:rPr>
          <w:rFonts w:ascii="Helvetica" w:hAnsi="Helvetica" w:cs="宋体"/>
          <w:kern w:val="0"/>
          <w:sz w:val="24"/>
        </w:rPr>
        <w:t>宝钢优秀教师奖获得者中的特别优秀者，经评审学校或评审单位提名，可参与宝钢优秀教师特等奖的评选（评选程序见第二十三条）。</w:t>
      </w:r>
    </w:p>
    <w:p>
      <w:pPr>
        <w:widowControl/>
        <w:shd w:val="clear" w:color="auto" w:fill="FFFFFF"/>
        <w:spacing w:line="450" w:lineRule="atLeast"/>
        <w:ind w:firstLine="480"/>
        <w:rPr>
          <w:rFonts w:ascii="Helvetica" w:hAnsi="Helvetica" w:cs="宋体"/>
          <w:color w:val="333333"/>
          <w:kern w:val="0"/>
          <w:sz w:val="24"/>
        </w:rPr>
      </w:pPr>
    </w:p>
    <w:p>
      <w:pPr>
        <w:widowControl/>
        <w:shd w:val="clear" w:color="auto" w:fill="5D9436"/>
        <w:spacing w:line="870" w:lineRule="atLeast"/>
        <w:jc w:val="left"/>
        <w:rPr>
          <w:rFonts w:ascii="Helvetica" w:hAnsi="Helvetica" w:cs="宋体"/>
          <w:b/>
          <w:bCs/>
          <w:color w:val="FFFFFF"/>
          <w:kern w:val="0"/>
          <w:sz w:val="36"/>
          <w:szCs w:val="36"/>
        </w:rPr>
      </w:pPr>
      <w:r>
        <w:rPr>
          <w:rFonts w:ascii="Helvetica" w:hAnsi="Helvetica" w:cs="宋体"/>
          <w:b/>
          <w:bCs/>
          <w:color w:val="FFFFFF"/>
          <w:kern w:val="0"/>
          <w:sz w:val="36"/>
          <w:szCs w:val="36"/>
        </w:rPr>
        <w:t>第四章 评选原则及评审程序</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第十六条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坚持公开、公平、公正的原则，严格掌握评选标准，严格遵守评审程序，采取自下而上，上下结合的方式进行。</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第十七条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b/>
          <w:color w:val="C00000"/>
          <w:kern w:val="0"/>
          <w:sz w:val="24"/>
        </w:rPr>
        <w:t>评选中要注重申报人的思想政治素质，全面衡量申报人的各方面表现。在此基础上：对申报学生要侧重对其“五种能力”以及自我养成意识的考核</w:t>
      </w:r>
      <w:r>
        <w:rPr>
          <w:rFonts w:ascii="Helvetica" w:hAnsi="Helvetica" w:cs="宋体"/>
          <w:color w:val="333333"/>
          <w:kern w:val="0"/>
          <w:sz w:val="24"/>
        </w:rPr>
        <w:t>；对申报教师要侧重其对学生思想政治素质的教育和影响，以及对学生“五种能力”培养成效的考核。并注意向从事基础课教学工作的教师以及中青年教师倾斜。</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第十八条</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候选人一旦确定，应在一定范围内张榜公示。获奖者应为本单位绝大多数师生所认同。</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第十九条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第二十一条</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评审学校或评审单位推荐非评审学校、非评审单位申报宝钢教育奖的学生或教师，原则上每年只能推荐1名宝钢优秀学生候选人或宝钢优秀教师候选人。</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非评审学校、非评审单位申报宝钢教育奖的学生或老师，其《评审表》由宝钢教育基金会秘书处经过资格审定后，委托上海市教育委员会评审组进行评选，并提出初选名单，由宝钢教育奖评审工作委员会最终确认。</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第二十二条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宝钢优秀学生特等奖的评选:</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1、各评审学校、评审单位在评选出宝钢优秀学生奖后，可从中择优评出宝钢优秀学生特等奖提名人1名，推荐给宝钢教育奖评审工作委员会。</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2、宝钢教育基金会秘书处对各评审学校、评审单位推荐的宝钢优秀学生特等奖提名人进行资格审查后，以书面材料方式寄给各评审学校、评审单位，供主管宝钢教育奖评颁工作的部门评审，并进行通讯表决。</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3、宝钢教育基金会秘书处按宝钢优秀学生特等奖提名人通讯表决得票多少，从高到低排列，提交当年宝钢优秀学生特等奖的获奖名单，由宝钢教育奖评审工作委员会最后确认。</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第二十三条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宝钢优秀教师特等奖的评选:</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1、各评审学校、评审单位在评选出宝钢优秀教师奖后，可从中择优评出宝钢优秀教师特等奖提名人1名，推荐给宝钢教育奖评审工作委员会。</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2、宝钢教育基金会秘书处对各评审学校、评审单位推荐的宝钢优秀教师特等奖提名人进行资格审查后，以书面材料方式寄给宝钢教育奖评审工作委员会各位顾问和委员，供各位顾问和委员评审，并进行通讯表决。</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3、宝钢教育奖评审工作委员会在每年11月份召开评审工作会议，对宝钢优秀教师特等奖提名人通讯表决结果进行审议。凡是通讯表决得票前10名并且得票数超过表决票数1/2（含1/2票），首先确认其入选。确认入选人数不足10人时，在未获确认入选的提名人中，按得票多少往下类推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4、在宝钢优秀教师特等奖第二次表决的候选人，没能入选宝钢优秀教师特等奖的教师，即自动获得宝钢优秀教师特等奖提名奖。</w:t>
      </w:r>
    </w:p>
    <w:p>
      <w:pPr>
        <w:widowControl/>
        <w:shd w:val="clear" w:color="auto" w:fill="5D9436"/>
        <w:spacing w:line="870" w:lineRule="atLeast"/>
        <w:jc w:val="left"/>
        <w:rPr>
          <w:rFonts w:ascii="Helvetica" w:hAnsi="Helvetica" w:cs="宋体"/>
          <w:b/>
          <w:bCs/>
          <w:color w:val="FFFFFF"/>
          <w:kern w:val="0"/>
          <w:sz w:val="36"/>
          <w:szCs w:val="36"/>
        </w:rPr>
      </w:pPr>
      <w:r>
        <w:rPr>
          <w:rFonts w:ascii="Helvetica" w:hAnsi="Helvetica" w:cs="宋体"/>
          <w:b/>
          <w:bCs/>
          <w:color w:val="FFFFFF"/>
          <w:kern w:val="0"/>
          <w:sz w:val="36"/>
          <w:szCs w:val="36"/>
        </w:rPr>
        <w:t>第五章 评审材料</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第二十四条 </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《评审表》中“主要事迹”一栏应具体生动、简明扼要、实事求是地介绍候选教师的业绩和学生在校期间所取得的成绩。</w:t>
      </w:r>
      <w:r>
        <w:rPr>
          <w:rFonts w:ascii="Helvetica" w:hAnsi="Helvetica" w:cs="宋体"/>
          <w:kern w:val="0"/>
          <w:sz w:val="24"/>
        </w:rPr>
        <w:t>教师的事迹应用具体的事例介绍其在教学内容的更新、教学方法和手段的改革、培养和考核学生的能力和素质方面的突出成绩；</w:t>
      </w:r>
      <w:r>
        <w:rPr>
          <w:rFonts w:ascii="Helvetica" w:hAnsi="Helvetica" w:cs="宋体"/>
          <w:b/>
          <w:color w:val="C00000"/>
          <w:kern w:val="0"/>
          <w:sz w:val="24"/>
        </w:rPr>
        <w:t>学生事迹应介绍学生在德、智、体、美、劳诸方面，特别是入校后在“五种能力”等方面的现实表现。</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第二十五条 </w:t>
      </w:r>
    </w:p>
    <w:p>
      <w:pPr>
        <w:widowControl/>
        <w:shd w:val="clear" w:color="auto" w:fill="FFFFFF"/>
        <w:spacing w:line="450" w:lineRule="atLeast"/>
        <w:ind w:firstLine="480"/>
        <w:rPr>
          <w:rFonts w:ascii="Helvetica" w:hAnsi="Helvetica" w:cs="宋体"/>
          <w:b/>
          <w:color w:val="C00000"/>
          <w:kern w:val="0"/>
          <w:sz w:val="24"/>
        </w:rPr>
      </w:pPr>
      <w:r>
        <w:rPr>
          <w:rFonts w:ascii="Helvetica" w:hAnsi="Helvetica" w:cs="宋体"/>
          <w:b/>
          <w:color w:val="C00000"/>
          <w:kern w:val="0"/>
          <w:sz w:val="24"/>
        </w:rPr>
        <w:t>申请的教师和学生以及相关单位应实事求是地按照要求认真填写《评审表》中的各项内容。如填写项目出现马虎、敷衍了事者，将取消该候选人的获奖资格。</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第二十六条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对以弄虚作假等不道德手段获得奖励者，一经查实，将撤销奖励，追回证书和奖金。</w:t>
      </w:r>
    </w:p>
    <w:p>
      <w:pPr>
        <w:widowControl/>
        <w:shd w:val="clear" w:color="auto" w:fill="5D9436"/>
        <w:spacing w:line="870" w:lineRule="atLeast"/>
        <w:jc w:val="left"/>
        <w:rPr>
          <w:rFonts w:ascii="Helvetica" w:hAnsi="Helvetica" w:cs="宋体"/>
          <w:b/>
          <w:bCs/>
          <w:color w:val="FFFFFF"/>
          <w:kern w:val="0"/>
          <w:sz w:val="36"/>
          <w:szCs w:val="36"/>
        </w:rPr>
      </w:pPr>
      <w:r>
        <w:rPr>
          <w:rFonts w:ascii="Helvetica" w:hAnsi="Helvetica" w:cs="宋体"/>
          <w:b/>
          <w:bCs/>
          <w:color w:val="FFFFFF"/>
          <w:kern w:val="0"/>
          <w:sz w:val="36"/>
          <w:szCs w:val="36"/>
        </w:rPr>
        <w:t>第六章 评审时间</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第二十七条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每年5月30日前，宝钢教育基金会秘书处将当年《宝钢教育奖评审工作通知》从宝钢教育基金会网站及以书面形式寄发给各评审学校和评审单位。</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第二十八条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9月8日前，各评审学校、评审单位在宝钢教育基金会网站的申报系统上完成宝钢优秀教师奖、宝钢优秀教师特等奖提名人的申报工作，</w:t>
      </w:r>
      <w:r>
        <w:rPr>
          <w:rFonts w:ascii="Helvetica" w:hAnsi="Helvetica" w:cs="宋体"/>
          <w:kern w:val="0"/>
          <w:sz w:val="24"/>
        </w:rPr>
        <w:t>同时将其以A4纸正反两面打印装订</w:t>
      </w:r>
      <w:r>
        <w:rPr>
          <w:rFonts w:ascii="Helvetica" w:hAnsi="Helvetica" w:cs="宋体"/>
          <w:color w:val="333333"/>
          <w:kern w:val="0"/>
          <w:sz w:val="24"/>
        </w:rPr>
        <w:t>，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吋彩色免冠近照一张。</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10月15日前，各评审学校、评审单位负责宝钢教育奖评审工作的部门协助本学校、本单位的宝钢教育奖评审工作委员会的顾问与委员，将《宝钢优秀教师特等奖通讯表决票》寄回宝钢教育基金会秘书处。</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第二十九条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10月12日前，各评审学校、评审单位应在宝钢教育基金会网站的申报系统上完成宝钢优秀学生奖、宝钢优秀学生特等奖的申报工作，同时将其以A4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2吋近照一张。</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10月26日前，各评审学校、评审单位将《宝钢优秀学生特等奖通讯表决票》寄回宝钢教育基金会秘书处。</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各项材料须按上述规定时间寄出，寄出时间以邮戳为准。逾期未寄，则视为自动放弃。</w:t>
      </w:r>
    </w:p>
    <w:p>
      <w:pPr>
        <w:widowControl/>
        <w:shd w:val="clear" w:color="auto" w:fill="5D9436"/>
        <w:spacing w:line="870" w:lineRule="atLeast"/>
        <w:jc w:val="left"/>
        <w:rPr>
          <w:rFonts w:ascii="Helvetica" w:hAnsi="Helvetica" w:cs="宋体"/>
          <w:b/>
          <w:bCs/>
          <w:color w:val="FFFFFF"/>
          <w:kern w:val="0"/>
          <w:sz w:val="36"/>
          <w:szCs w:val="36"/>
        </w:rPr>
      </w:pPr>
      <w:r>
        <w:rPr>
          <w:rFonts w:ascii="Helvetica" w:hAnsi="Helvetica" w:cs="宋体"/>
          <w:b/>
          <w:bCs/>
          <w:color w:val="FFFFFF"/>
          <w:kern w:val="0"/>
          <w:sz w:val="36"/>
          <w:szCs w:val="36"/>
        </w:rPr>
        <w:t>第七章 表彰与奖励</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第三十条</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宝钢教育基金会于每年年底通过宝钢教育基金会网站和《中国教育报》公布当年宝钢优秀学生特等奖、宝钢优秀学生奖、宝钢优秀教师特等奖、宝钢优秀教师奖的获奖名单。</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宝钢教育奖每两年举行一次颁奖活动，届时邀请获奖师生代表出席。</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第三十一条 </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宝钢教育奖获奖名单公布后，各评审学校应单独或结合学校其它教育奖项举行颁奖仪式，进行表彰。也可以与本地区宝钢教育奖设奖的其它学校联合举行颁奖活动。</w:t>
      </w:r>
    </w:p>
    <w:p>
      <w:pPr>
        <w:widowControl/>
        <w:shd w:val="clear" w:color="auto" w:fill="FFFFFF"/>
        <w:spacing w:line="450" w:lineRule="atLeast"/>
        <w:ind w:firstLine="480"/>
        <w:rPr>
          <w:rFonts w:ascii="Helvetica" w:hAnsi="Helvetica" w:cs="宋体"/>
          <w:color w:val="333333"/>
          <w:kern w:val="0"/>
          <w:sz w:val="24"/>
        </w:rPr>
      </w:pPr>
    </w:p>
    <w:p>
      <w:pPr>
        <w:widowControl/>
        <w:shd w:val="clear" w:color="auto" w:fill="5D9436"/>
        <w:spacing w:line="870" w:lineRule="atLeast"/>
        <w:jc w:val="left"/>
        <w:rPr>
          <w:rFonts w:ascii="Helvetica" w:hAnsi="Helvetica" w:cs="宋体"/>
          <w:b/>
          <w:bCs/>
          <w:color w:val="FFFFFF"/>
          <w:kern w:val="0"/>
          <w:sz w:val="36"/>
          <w:szCs w:val="36"/>
        </w:rPr>
      </w:pPr>
      <w:r>
        <w:rPr>
          <w:rFonts w:ascii="Helvetica" w:hAnsi="Helvetica" w:cs="宋体"/>
          <w:b/>
          <w:bCs/>
          <w:color w:val="FFFFFF"/>
          <w:kern w:val="0"/>
          <w:sz w:val="36"/>
          <w:szCs w:val="36"/>
        </w:rPr>
        <w:t>第八章 附则</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第三十二条</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本《实施细则》自颁布之日起实施，凡与本《实施细则》条款不一致的其它规定自行废止。</w:t>
      </w:r>
    </w:p>
    <w:p>
      <w:pPr>
        <w:widowControl/>
        <w:shd w:val="clear" w:color="auto" w:fill="FFFFFF"/>
        <w:spacing w:line="450" w:lineRule="atLeast"/>
        <w:ind w:firstLine="480"/>
        <w:rPr>
          <w:rFonts w:ascii="Helvetica" w:hAnsi="Helvetica" w:cs="宋体"/>
          <w:color w:val="333333"/>
          <w:kern w:val="0"/>
          <w:sz w:val="24"/>
        </w:rPr>
      </w:pPr>
      <w:r>
        <w:rPr>
          <w:rFonts w:ascii="Helvetica" w:hAnsi="Helvetica" w:cs="宋体"/>
          <w:color w:val="333333"/>
          <w:kern w:val="0"/>
          <w:sz w:val="24"/>
        </w:rPr>
        <w:t>第三十三条</w:t>
      </w:r>
    </w:p>
    <w:p>
      <w:pPr>
        <w:widowControl/>
        <w:shd w:val="clear" w:color="auto" w:fill="FFFFFF"/>
        <w:spacing w:line="450" w:lineRule="atLeast"/>
        <w:ind w:firstLine="480"/>
        <w:rPr>
          <w:rFonts w:hint="eastAsia" w:ascii="Helvetica" w:hAnsi="Helvetica" w:cs="宋体"/>
          <w:color w:val="333333"/>
          <w:kern w:val="0"/>
          <w:sz w:val="24"/>
        </w:rPr>
      </w:pPr>
      <w:r>
        <w:rPr>
          <w:rFonts w:ascii="Helvetica" w:hAnsi="Helvetica" w:cs="宋体"/>
          <w:color w:val="333333"/>
          <w:kern w:val="0"/>
          <w:sz w:val="24"/>
        </w:rPr>
        <w:t>本《实施细则》解释权属宝钢教育基金会秘书处。</w:t>
      </w:r>
    </w:p>
    <w:p>
      <w:pPr>
        <w:widowControl/>
        <w:shd w:val="clear" w:color="auto" w:fill="FFFFFF"/>
        <w:spacing w:line="450" w:lineRule="atLeast"/>
        <w:ind w:firstLine="480"/>
        <w:rPr>
          <w:rFonts w:hint="eastAsia" w:ascii="Helvetica" w:hAnsi="Helvetica" w:cs="宋体"/>
          <w:color w:val="333333"/>
          <w:kern w:val="0"/>
          <w:sz w:val="24"/>
        </w:rPr>
      </w:pPr>
    </w:p>
    <w:p>
      <w:pPr>
        <w:widowControl/>
        <w:shd w:val="clear" w:color="auto" w:fill="FFFFFF"/>
        <w:spacing w:line="450" w:lineRule="atLeast"/>
        <w:ind w:firstLine="480"/>
        <w:rPr>
          <w:rFonts w:ascii="Helvetica" w:hAnsi="Helvetica" w:cs="宋体"/>
          <w:color w:val="333333"/>
          <w:kern w:val="0"/>
          <w:sz w:val="24"/>
        </w:rPr>
      </w:pPr>
    </w:p>
    <w:p>
      <w:pPr>
        <w:widowControl/>
        <w:shd w:val="clear" w:color="auto" w:fill="FFFFFF"/>
        <w:spacing w:line="450" w:lineRule="atLeast"/>
        <w:ind w:firstLine="480"/>
        <w:jc w:val="right"/>
        <w:rPr>
          <w:rFonts w:ascii="Helvetica" w:hAnsi="Helvetica" w:cs="宋体"/>
          <w:color w:val="333333"/>
          <w:kern w:val="0"/>
          <w:sz w:val="24"/>
        </w:rPr>
      </w:pPr>
      <w:r>
        <w:rPr>
          <w:rFonts w:ascii="Helvetica" w:hAnsi="Helvetica" w:cs="宋体"/>
          <w:color w:val="333333"/>
          <w:kern w:val="0"/>
          <w:sz w:val="24"/>
        </w:rPr>
        <w:t>宝钢教育基金理事会秘书处</w:t>
      </w:r>
    </w:p>
    <w:p>
      <w:pPr>
        <w:widowControl/>
        <w:shd w:val="clear" w:color="auto" w:fill="FFFFFF"/>
        <w:spacing w:line="450" w:lineRule="atLeast"/>
        <w:ind w:firstLine="480"/>
        <w:jc w:val="right"/>
        <w:rPr>
          <w:rFonts w:hint="eastAsia" w:ascii="宋体" w:hAnsi="宋体" w:cs="宋体"/>
          <w:kern w:val="0"/>
          <w:sz w:val="24"/>
        </w:rPr>
      </w:pPr>
      <w:r>
        <w:rPr>
          <w:rFonts w:ascii="Helvetica" w:hAnsi="Helvetica" w:cs="宋体"/>
          <w:color w:val="333333"/>
          <w:kern w:val="0"/>
          <w:sz w:val="24"/>
        </w:rPr>
        <w:t>2018年5月11日修订</w:t>
      </w:r>
    </w:p>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F602D"/>
    <w:rsid w:val="7A9F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Strong"/>
    <w:qFormat/>
    <w:uiPriority w:val="0"/>
    <w:rPr>
      <w:b/>
      <w:bC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2020-07-02T09:41:00Z</dcterms:created>
  <dc:creator>sun</dc:creator>
  <cp:lastModifiedBy>sun</cp:lastModifiedBy>
  <dcterms:modified xsi:type="dcterms:W3CDTF">2020-07-02T09:43:13Z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